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6E" w:rsidRDefault="006A336E" w:rsidP="006A336E">
      <w:pPr>
        <w:jc w:val="center"/>
        <w:rPr>
          <w:rFonts w:ascii="仿宋" w:eastAsia="仿宋" w:hAnsi="仿宋" w:cs="仿宋"/>
          <w:b/>
          <w:bCs/>
          <w:spacing w:val="5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shd w:val="clear" w:color="auto" w:fill="FFFFFF"/>
        </w:rPr>
        <w:t>附表1：第九届中国研究生公共管理案例大赛南昌大学获奖案例信息</w:t>
      </w:r>
    </w:p>
    <w:tbl>
      <w:tblPr>
        <w:tblStyle w:val="a3"/>
        <w:tblpPr w:leftFromText="180" w:rightFromText="180" w:vertAnchor="text" w:horzAnchor="page" w:tblpX="1505" w:tblpY="113"/>
        <w:tblOverlap w:val="never"/>
        <w:tblW w:w="13984" w:type="dxa"/>
        <w:tblLayout w:type="fixed"/>
        <w:tblLook w:val="04A0" w:firstRow="1" w:lastRow="0" w:firstColumn="1" w:lastColumn="0" w:noHBand="0" w:noVBand="1"/>
      </w:tblPr>
      <w:tblGrid>
        <w:gridCol w:w="1345"/>
        <w:gridCol w:w="1666"/>
        <w:gridCol w:w="1347"/>
        <w:gridCol w:w="3289"/>
        <w:gridCol w:w="6337"/>
      </w:tblGrid>
      <w:tr w:rsidR="006A336E" w:rsidTr="000567A8">
        <w:trPr>
          <w:trHeight w:val="454"/>
        </w:trPr>
        <w:tc>
          <w:tcPr>
            <w:tcW w:w="1345" w:type="dxa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b/>
                <w:bCs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5"/>
                <w:sz w:val="24"/>
                <w:shd w:val="clear" w:color="auto" w:fill="FFFFFF"/>
              </w:rPr>
              <w:t>奖项</w:t>
            </w:r>
          </w:p>
        </w:tc>
        <w:tc>
          <w:tcPr>
            <w:tcW w:w="1666" w:type="dxa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b/>
                <w:bCs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5"/>
                <w:sz w:val="24"/>
                <w:shd w:val="clear" w:color="auto" w:fill="FFFFFF"/>
              </w:rPr>
              <w:t>参赛队伍</w:t>
            </w:r>
          </w:p>
        </w:tc>
        <w:tc>
          <w:tcPr>
            <w:tcW w:w="1347" w:type="dxa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b/>
                <w:bCs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5"/>
                <w:sz w:val="24"/>
                <w:shd w:val="clear" w:color="auto" w:fill="FFFFFF"/>
              </w:rPr>
              <w:t>指导教师</w:t>
            </w:r>
          </w:p>
        </w:tc>
        <w:tc>
          <w:tcPr>
            <w:tcW w:w="3289" w:type="dxa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b/>
                <w:bCs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5"/>
                <w:sz w:val="24"/>
                <w:shd w:val="clear" w:color="auto" w:fill="FFFFFF"/>
              </w:rPr>
              <w:t>参赛队员</w:t>
            </w:r>
          </w:p>
        </w:tc>
        <w:tc>
          <w:tcPr>
            <w:tcW w:w="6337" w:type="dxa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b/>
                <w:bCs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5"/>
                <w:sz w:val="24"/>
                <w:shd w:val="clear" w:color="auto" w:fill="FFFFFF"/>
              </w:rPr>
              <w:t>案例名称</w:t>
            </w:r>
          </w:p>
        </w:tc>
      </w:tr>
      <w:tr w:rsidR="006A336E" w:rsidTr="000567A8">
        <w:trPr>
          <w:trHeight w:val="454"/>
        </w:trPr>
        <w:tc>
          <w:tcPr>
            <w:tcW w:w="1345" w:type="dxa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最佳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案例奖</w:t>
            </w:r>
            <w:proofErr w:type="gramEnd"/>
          </w:p>
        </w:tc>
        <w:tc>
          <w:tcPr>
            <w:tcW w:w="1666" w:type="dxa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“遗”路高歌</w:t>
            </w:r>
          </w:p>
        </w:tc>
        <w:tc>
          <w:tcPr>
            <w:tcW w:w="1347" w:type="dxa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韩艺、王焱</w:t>
            </w:r>
          </w:p>
        </w:tc>
        <w:tc>
          <w:tcPr>
            <w:tcW w:w="3289" w:type="dxa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洪吕颖、谢陈润泽、卢雨薇、邱玮楠、徐超威、刘巧梅、过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忻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毅</w:t>
            </w:r>
          </w:p>
        </w:tc>
        <w:tc>
          <w:tcPr>
            <w:tcW w:w="6337" w:type="dxa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弋阳腔的历史传唱：如何上演一出非物质文化遗产拯救的“合作治理”好戏</w:t>
            </w:r>
          </w:p>
        </w:tc>
      </w:tr>
      <w:tr w:rsidR="006A336E" w:rsidTr="000567A8">
        <w:trPr>
          <w:trHeight w:val="454"/>
        </w:trPr>
        <w:tc>
          <w:tcPr>
            <w:tcW w:w="1345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一等奖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“遗”路高歌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韩艺、王焱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洪吕颖、谢陈润泽、卢雨薇、邱玮楠、徐超威、刘巧梅、过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忻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毅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弋阳腔的历史传唱：如何上演一出非物质文化遗产拯救的“合作治理”好戏</w:t>
            </w:r>
          </w:p>
        </w:tc>
      </w:tr>
      <w:tr w:rsidR="006A336E" w:rsidTr="000567A8">
        <w:trPr>
          <w:trHeight w:val="454"/>
        </w:trPr>
        <w:tc>
          <w:tcPr>
            <w:tcW w:w="1345" w:type="dxa"/>
            <w:vMerge w:val="restart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三等奖</w:t>
            </w:r>
          </w:p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（2项）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点绿成金队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韩艺</w:t>
            </w:r>
            <w:proofErr w:type="gramEnd"/>
          </w:p>
        </w:tc>
        <w:tc>
          <w:tcPr>
            <w:tcW w:w="3289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刘勇平、靳淑琪、胡斌娜、李赟、聂志峰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从“守青山”到“见金山”，生态穷县何以“点绿成金”？ ——Z县集体林权制度改革赋能乡村生态资源价值转化之路</w:t>
            </w:r>
          </w:p>
        </w:tc>
      </w:tr>
      <w:tr w:rsidR="006A336E" w:rsidTr="000567A8">
        <w:trPr>
          <w:trHeight w:val="454"/>
        </w:trPr>
        <w:tc>
          <w:tcPr>
            <w:tcW w:w="1345" w:type="dxa"/>
            <w:vMerge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好运莲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莲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队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罗亮、时影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应诗怡、王雯馨、林柳私、夏静雯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“街”续古韵，“祠”旧迎新：沉睡古街何以“C位出道”？——行动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者网络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视角下刘祠堂背历史文化街区改造的艰难探索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与破局之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路</w:t>
            </w:r>
          </w:p>
        </w:tc>
      </w:tr>
      <w:tr w:rsidR="006A336E" w:rsidTr="000567A8">
        <w:trPr>
          <w:trHeight w:val="454"/>
        </w:trPr>
        <w:tc>
          <w:tcPr>
            <w:tcW w:w="1345" w:type="dxa"/>
            <w:vMerge w:val="restart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优秀奖</w:t>
            </w:r>
          </w:p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（10项）</w:t>
            </w:r>
          </w:p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动物园派队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韩艺</w:t>
            </w:r>
            <w:proofErr w:type="gramEnd"/>
          </w:p>
        </w:tc>
        <w:tc>
          <w:tcPr>
            <w:tcW w:w="3289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李汝楠、李超、刘叶、徐婉榕、夏嘉良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从“防溺水”到“共戏水”：农村公共泳池何以倒映儿童笑颜？——山水镇公共泳池的多元筹建和自主治理之路</w:t>
            </w:r>
          </w:p>
        </w:tc>
      </w:tr>
      <w:tr w:rsidR="006A336E" w:rsidTr="000567A8">
        <w:trPr>
          <w:trHeight w:val="454"/>
        </w:trPr>
        <w:tc>
          <w:tcPr>
            <w:tcW w:w="1345" w:type="dxa"/>
            <w:vMerge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萌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萌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加油干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韩艺</w:t>
            </w:r>
            <w:proofErr w:type="gramEnd"/>
          </w:p>
        </w:tc>
        <w:tc>
          <w:tcPr>
            <w:tcW w:w="3289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杨志、杨文军、刘歆韵、李政阳、胡煜蕾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议政“小切口”  撬动“大难题”——民主党派社情民意信息如何助力解决跨域治理难题</w:t>
            </w:r>
          </w:p>
        </w:tc>
      </w:tr>
      <w:tr w:rsidR="006A336E" w:rsidTr="000567A8">
        <w:trPr>
          <w:trHeight w:val="454"/>
        </w:trPr>
        <w:tc>
          <w:tcPr>
            <w:tcW w:w="1345" w:type="dxa"/>
            <w:vMerge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志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同道河</w:t>
            </w:r>
            <w:proofErr w:type="gramEnd"/>
          </w:p>
        </w:tc>
        <w:tc>
          <w:tcPr>
            <w:tcW w:w="134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韩艺</w:t>
            </w:r>
            <w:proofErr w:type="gramEnd"/>
          </w:p>
        </w:tc>
        <w:tc>
          <w:tcPr>
            <w:tcW w:w="3289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张斯聪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、吴嘉鑫、赖敏、涂小平、杨筱佳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无可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奈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“河”到志同道“河” ——外源压力传导下的制度激活与 W 河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生态蝶变</w:t>
            </w:r>
            <w:proofErr w:type="gramEnd"/>
          </w:p>
        </w:tc>
      </w:tr>
      <w:tr w:rsidR="006A336E" w:rsidTr="000567A8">
        <w:trPr>
          <w:trHeight w:val="454"/>
        </w:trPr>
        <w:tc>
          <w:tcPr>
            <w:tcW w:w="1345" w:type="dxa"/>
            <w:vMerge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海晏河清队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韩艺</w:t>
            </w:r>
            <w:proofErr w:type="gramEnd"/>
          </w:p>
        </w:tc>
        <w:tc>
          <w:tcPr>
            <w:tcW w:w="3289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刘思翰、袁文婷、姜颖、曾涛、蒋依琳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城市“静脉手术”何以疏通“淤积之困”？——Q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区雨污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分流改造破茧重生记</w:t>
            </w:r>
          </w:p>
        </w:tc>
      </w:tr>
      <w:tr w:rsidR="006A336E" w:rsidTr="000567A8">
        <w:trPr>
          <w:trHeight w:val="454"/>
        </w:trPr>
        <w:tc>
          <w:tcPr>
            <w:tcW w:w="1345" w:type="dxa"/>
            <w:vMerge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怎么老不队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韩艺、郭曦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杨钰婷、谭妍婷、冯妍、杨思娇、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黄镍</w:t>
            </w:r>
            <w:proofErr w:type="gramEnd"/>
          </w:p>
        </w:tc>
        <w:tc>
          <w:tcPr>
            <w:tcW w:w="633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家门口的幸福“养老处”，公与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私如何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携手共筑？——基于F市大富社区日间照料中心的个案考察</w:t>
            </w:r>
          </w:p>
        </w:tc>
      </w:tr>
      <w:tr w:rsidR="006A336E" w:rsidTr="000567A8">
        <w:trPr>
          <w:trHeight w:val="454"/>
        </w:trPr>
        <w:tc>
          <w:tcPr>
            <w:tcW w:w="1345" w:type="dxa"/>
            <w:vMerge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协奏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前行队</w:t>
            </w:r>
            <w:proofErr w:type="gramEnd"/>
          </w:p>
        </w:tc>
        <w:tc>
          <w:tcPr>
            <w:tcW w:w="134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时影、罗亮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廖彤、孙清玲、胡祎譞、于德洪、张雨欣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破“停”难关，筑“安”家园：南昌X小区“四手联弹”奏响停车治理协奏曲</w:t>
            </w:r>
          </w:p>
        </w:tc>
      </w:tr>
      <w:tr w:rsidR="006A336E" w:rsidTr="000567A8">
        <w:trPr>
          <w:trHeight w:val="454"/>
        </w:trPr>
        <w:tc>
          <w:tcPr>
            <w:tcW w:w="1345" w:type="dxa"/>
            <w:vMerge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化治精英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队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时影、罗亮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辛佳琪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、饶品城、夏颖、陈一炀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从“邻避冲突”到“绿色共识”: IAD视域下Y县F化工园区治理的多元博弈与困境突围</w:t>
            </w:r>
          </w:p>
        </w:tc>
      </w:tr>
      <w:tr w:rsidR="006A336E" w:rsidTr="000567A8">
        <w:trPr>
          <w:trHeight w:val="454"/>
        </w:trPr>
        <w:tc>
          <w:tcPr>
            <w:tcW w:w="1345" w:type="dxa"/>
            <w:vMerge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蔬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有棚队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罗亮、时影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罗强、杨源、汪佳佳、刘巧梅、叶欣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怡</w:t>
            </w:r>
            <w:proofErr w:type="gramEnd"/>
          </w:p>
        </w:tc>
        <w:tc>
          <w:tcPr>
            <w:tcW w:w="633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从“棚”头垢面到“棚”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勃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发展：L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县设施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蔬菜产业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蝶变记</w:t>
            </w:r>
            <w:proofErr w:type="gramEnd"/>
          </w:p>
        </w:tc>
      </w:tr>
      <w:tr w:rsidR="006A336E" w:rsidTr="000567A8">
        <w:trPr>
          <w:trHeight w:val="454"/>
        </w:trPr>
        <w:tc>
          <w:tcPr>
            <w:tcW w:w="1345" w:type="dxa"/>
            <w:vMerge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青春送暖队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刘建生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王莫凡、范知意、乐奇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“小饭碗”何以撬动“大民生” ——X市“党建+颐养之家”的“遇阻”和“克难”</w:t>
            </w:r>
          </w:p>
        </w:tc>
      </w:tr>
      <w:tr w:rsidR="006A336E" w:rsidTr="000567A8">
        <w:trPr>
          <w:trHeight w:val="454"/>
        </w:trPr>
        <w:tc>
          <w:tcPr>
            <w:tcW w:w="1345" w:type="dxa"/>
            <w:vMerge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点木成金队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刘建生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陈兴远、郭凌蔚、吴丽娟</w:t>
            </w:r>
          </w:p>
        </w:tc>
        <w:tc>
          <w:tcPr>
            <w:tcW w:w="6337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从“草根”到“巨人”：无木之乡何以点木成金 ——J省N区家具产业突出重围的嬗变密码</w:t>
            </w:r>
          </w:p>
        </w:tc>
      </w:tr>
      <w:tr w:rsidR="006A336E" w:rsidTr="000567A8">
        <w:trPr>
          <w:trHeight w:val="454"/>
        </w:trPr>
        <w:tc>
          <w:tcPr>
            <w:tcW w:w="1345" w:type="dxa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最佳指导教师</w:t>
            </w:r>
          </w:p>
        </w:tc>
        <w:tc>
          <w:tcPr>
            <w:tcW w:w="12639" w:type="dxa"/>
            <w:gridSpan w:val="4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韩艺、王焱</w:t>
            </w:r>
          </w:p>
        </w:tc>
      </w:tr>
      <w:tr w:rsidR="006A336E" w:rsidTr="000567A8">
        <w:trPr>
          <w:trHeight w:val="454"/>
        </w:trPr>
        <w:tc>
          <w:tcPr>
            <w:tcW w:w="1345" w:type="dxa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优秀组织单位</w:t>
            </w:r>
          </w:p>
        </w:tc>
        <w:tc>
          <w:tcPr>
            <w:tcW w:w="12639" w:type="dxa"/>
            <w:gridSpan w:val="4"/>
            <w:shd w:val="clear" w:color="auto" w:fill="auto"/>
            <w:vAlign w:val="center"/>
          </w:tcPr>
          <w:p w:rsidR="006A336E" w:rsidRDefault="006A336E" w:rsidP="000567A8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南昌大学</w:t>
            </w:r>
          </w:p>
        </w:tc>
      </w:tr>
    </w:tbl>
    <w:p w:rsidR="006A336E" w:rsidRDefault="006A336E" w:rsidP="006A336E">
      <w:pPr>
        <w:rPr>
          <w:rFonts w:ascii="仿宋" w:eastAsia="仿宋" w:hAnsi="仿宋" w:cs="仿宋"/>
          <w:spacing w:val="5"/>
          <w:sz w:val="28"/>
          <w:szCs w:val="28"/>
          <w:shd w:val="clear" w:color="auto" w:fill="FFFFFF"/>
        </w:rPr>
      </w:pPr>
    </w:p>
    <w:p w:rsidR="006A336E" w:rsidRDefault="006A336E" w:rsidP="006A336E">
      <w:pPr>
        <w:jc w:val="center"/>
        <w:rPr>
          <w:rFonts w:ascii="仿宋" w:eastAsia="仿宋" w:hAnsi="仿宋" w:cs="仿宋"/>
          <w:b/>
          <w:bCs/>
          <w:spacing w:val="5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pacing w:val="5"/>
          <w:sz w:val="28"/>
          <w:szCs w:val="28"/>
          <w:shd w:val="clear" w:color="auto" w:fill="FFFFFF"/>
        </w:rPr>
        <w:t>附表2：第九届中国研究生公共管理案例大赛南昌大学获奖调研报告信息</w:t>
      </w:r>
      <w:bookmarkStart w:id="0" w:name="_GoBack"/>
      <w:bookmarkEnd w:id="0"/>
    </w:p>
    <w:tbl>
      <w:tblPr>
        <w:tblStyle w:val="a3"/>
        <w:tblpPr w:leftFromText="180" w:rightFromText="180" w:vertAnchor="text" w:horzAnchor="page" w:tblpX="1453" w:tblpY="113"/>
        <w:tblOverlap w:val="never"/>
        <w:tblW w:w="14000" w:type="dxa"/>
        <w:tblLayout w:type="fixed"/>
        <w:tblLook w:val="04A0" w:firstRow="1" w:lastRow="0" w:firstColumn="1" w:lastColumn="0" w:noHBand="0" w:noVBand="1"/>
      </w:tblPr>
      <w:tblGrid>
        <w:gridCol w:w="1804"/>
        <w:gridCol w:w="2275"/>
        <w:gridCol w:w="1791"/>
        <w:gridCol w:w="8130"/>
      </w:tblGrid>
      <w:tr w:rsidR="006A336E" w:rsidTr="005061C9">
        <w:trPr>
          <w:trHeight w:val="454"/>
        </w:trPr>
        <w:tc>
          <w:tcPr>
            <w:tcW w:w="1804" w:type="dxa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b/>
                <w:bCs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5"/>
                <w:sz w:val="24"/>
                <w:shd w:val="clear" w:color="auto" w:fill="FFFFFF"/>
              </w:rPr>
              <w:t>奖项</w:t>
            </w:r>
          </w:p>
        </w:tc>
        <w:tc>
          <w:tcPr>
            <w:tcW w:w="2275" w:type="dxa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b/>
                <w:bCs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5"/>
                <w:sz w:val="24"/>
                <w:shd w:val="clear" w:color="auto" w:fill="FFFFFF"/>
              </w:rPr>
              <w:t>参赛队伍</w:t>
            </w:r>
          </w:p>
        </w:tc>
        <w:tc>
          <w:tcPr>
            <w:tcW w:w="1791" w:type="dxa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b/>
                <w:bCs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5"/>
                <w:sz w:val="24"/>
                <w:shd w:val="clear" w:color="auto" w:fill="FFFFFF"/>
              </w:rPr>
              <w:t>指导教师</w:t>
            </w:r>
          </w:p>
        </w:tc>
        <w:tc>
          <w:tcPr>
            <w:tcW w:w="8130" w:type="dxa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b/>
                <w:bCs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5"/>
                <w:sz w:val="24"/>
                <w:shd w:val="clear" w:color="auto" w:fill="FFFFFF"/>
              </w:rPr>
              <w:t>参赛队员</w:t>
            </w:r>
          </w:p>
        </w:tc>
      </w:tr>
      <w:tr w:rsidR="006A336E" w:rsidTr="005061C9">
        <w:trPr>
          <w:trHeight w:val="454"/>
        </w:trPr>
        <w:tc>
          <w:tcPr>
            <w:tcW w:w="1804" w:type="dxa"/>
            <w:vMerge w:val="restart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一等奖</w:t>
            </w:r>
          </w:p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（2项）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海晏河清队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韩艺</w:t>
            </w:r>
            <w:proofErr w:type="gramEnd"/>
          </w:p>
        </w:tc>
        <w:tc>
          <w:tcPr>
            <w:tcW w:w="8130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刘思翰、袁文婷、姜颖、曾涛、蒋依琳</w:t>
            </w:r>
          </w:p>
        </w:tc>
      </w:tr>
      <w:tr w:rsidR="006A336E" w:rsidTr="005061C9">
        <w:trPr>
          <w:trHeight w:val="454"/>
        </w:trPr>
        <w:tc>
          <w:tcPr>
            <w:tcW w:w="1804" w:type="dxa"/>
            <w:vMerge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好运莲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莲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队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罗亮、时影</w:t>
            </w:r>
          </w:p>
        </w:tc>
        <w:tc>
          <w:tcPr>
            <w:tcW w:w="8130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应诗怡、王雯馨、林柳私、夏静雯</w:t>
            </w:r>
          </w:p>
        </w:tc>
      </w:tr>
      <w:tr w:rsidR="006A336E" w:rsidTr="005061C9">
        <w:trPr>
          <w:trHeight w:val="454"/>
        </w:trPr>
        <w:tc>
          <w:tcPr>
            <w:tcW w:w="1804" w:type="dxa"/>
            <w:vMerge w:val="restart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lastRenderedPageBreak/>
              <w:t>二等奖</w:t>
            </w:r>
          </w:p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（4项）</w:t>
            </w:r>
          </w:p>
        </w:tc>
        <w:tc>
          <w:tcPr>
            <w:tcW w:w="2275" w:type="dxa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馥郁富裕小队</w:t>
            </w:r>
          </w:p>
        </w:tc>
        <w:tc>
          <w:tcPr>
            <w:tcW w:w="1791" w:type="dxa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韩艺</w:t>
            </w:r>
            <w:proofErr w:type="gramEnd"/>
          </w:p>
        </w:tc>
        <w:tc>
          <w:tcPr>
            <w:tcW w:w="8130" w:type="dxa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  <w:t>乐蔚晗</w:t>
            </w: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、徐睿思、过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忻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毅、杨一凡、余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劼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其</w:t>
            </w:r>
          </w:p>
        </w:tc>
      </w:tr>
      <w:tr w:rsidR="006A336E" w:rsidTr="005061C9">
        <w:trPr>
          <w:trHeight w:val="454"/>
        </w:trPr>
        <w:tc>
          <w:tcPr>
            <w:tcW w:w="1804" w:type="dxa"/>
            <w:vMerge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怎么老不队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韩艺、郭曦</w:t>
            </w:r>
          </w:p>
        </w:tc>
        <w:tc>
          <w:tcPr>
            <w:tcW w:w="8130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杨钰婷、谭妍婷、冯妍、杨思娇、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黄镍</w:t>
            </w:r>
            <w:proofErr w:type="gramEnd"/>
          </w:p>
        </w:tc>
      </w:tr>
      <w:tr w:rsidR="006A336E" w:rsidTr="005061C9">
        <w:trPr>
          <w:trHeight w:val="454"/>
        </w:trPr>
        <w:tc>
          <w:tcPr>
            <w:tcW w:w="1804" w:type="dxa"/>
            <w:vMerge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志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同道河</w:t>
            </w:r>
            <w:proofErr w:type="gramEnd"/>
          </w:p>
        </w:tc>
        <w:tc>
          <w:tcPr>
            <w:tcW w:w="1791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韩艺</w:t>
            </w:r>
            <w:proofErr w:type="gramEnd"/>
          </w:p>
        </w:tc>
        <w:tc>
          <w:tcPr>
            <w:tcW w:w="8130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张斯聪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、吴嘉鑫、赖敏、涂小平、杨筱佳</w:t>
            </w:r>
          </w:p>
        </w:tc>
      </w:tr>
      <w:tr w:rsidR="006A336E" w:rsidTr="005061C9">
        <w:trPr>
          <w:trHeight w:val="454"/>
        </w:trPr>
        <w:tc>
          <w:tcPr>
            <w:tcW w:w="1804" w:type="dxa"/>
            <w:vMerge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5"/>
                <w:kern w:val="2"/>
                <w:sz w:val="24"/>
                <w:shd w:val="clear" w:color="auto" w:fill="FFFFFF"/>
              </w:rPr>
              <w:t>守护鸭宝</w:t>
            </w:r>
            <w:proofErr w:type="gramEnd"/>
          </w:p>
        </w:tc>
        <w:tc>
          <w:tcPr>
            <w:tcW w:w="1791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kern w:val="2"/>
                <w:sz w:val="24"/>
                <w:shd w:val="clear" w:color="auto" w:fill="FFFFFF"/>
              </w:rPr>
              <w:t>刘建生</w:t>
            </w:r>
          </w:p>
        </w:tc>
        <w:tc>
          <w:tcPr>
            <w:tcW w:w="8130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pacing w:val="5"/>
                <w:kern w:val="2"/>
                <w:sz w:val="24"/>
                <w:shd w:val="clear" w:color="auto" w:fill="FFFFFF"/>
              </w:rPr>
              <w:t>徐艳</w:t>
            </w:r>
            <w:r>
              <w:rPr>
                <w:rFonts w:ascii="仿宋" w:eastAsia="仿宋" w:hAnsi="仿宋" w:cs="仿宋" w:hint="eastAsia"/>
                <w:spacing w:val="5"/>
                <w:kern w:val="2"/>
                <w:sz w:val="24"/>
                <w:shd w:val="clear" w:color="auto" w:fill="FFFFFF"/>
              </w:rPr>
              <w:t>、龚文飞、张豆、万宇豪</w:t>
            </w:r>
          </w:p>
        </w:tc>
      </w:tr>
      <w:tr w:rsidR="006A336E" w:rsidTr="005061C9">
        <w:trPr>
          <w:trHeight w:val="454"/>
        </w:trPr>
        <w:tc>
          <w:tcPr>
            <w:tcW w:w="1804" w:type="dxa"/>
            <w:vMerge w:val="restart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kern w:val="2"/>
                <w:sz w:val="24"/>
                <w:shd w:val="clear" w:color="auto" w:fill="FFFFFF"/>
              </w:rPr>
              <w:t>三等奖</w:t>
            </w:r>
          </w:p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kern w:val="2"/>
                <w:sz w:val="24"/>
                <w:shd w:val="clear" w:color="auto" w:fill="FFFFFF"/>
              </w:rPr>
              <w:t>（8项）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火炎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焱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燚消防队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韩艺</w:t>
            </w:r>
            <w:proofErr w:type="gramEnd"/>
          </w:p>
        </w:tc>
        <w:tc>
          <w:tcPr>
            <w:tcW w:w="8130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  <w:t>陈浩然</w:t>
            </w: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、彭军、吴桦、汪嘉诚、胡驰</w:t>
            </w:r>
          </w:p>
        </w:tc>
      </w:tr>
      <w:tr w:rsidR="006A336E" w:rsidTr="005061C9">
        <w:trPr>
          <w:trHeight w:val="454"/>
        </w:trPr>
        <w:tc>
          <w:tcPr>
            <w:tcW w:w="1804" w:type="dxa"/>
            <w:vMerge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动物园派队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韩艺</w:t>
            </w:r>
            <w:proofErr w:type="gramEnd"/>
          </w:p>
        </w:tc>
        <w:tc>
          <w:tcPr>
            <w:tcW w:w="8130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李汝楠、李超、刘叶、徐婉榕、夏嘉良</w:t>
            </w:r>
          </w:p>
        </w:tc>
      </w:tr>
      <w:tr w:rsidR="006A336E" w:rsidTr="005061C9">
        <w:trPr>
          <w:trHeight w:val="454"/>
        </w:trPr>
        <w:tc>
          <w:tcPr>
            <w:tcW w:w="1804" w:type="dxa"/>
            <w:vMerge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“遗”路高歌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韩艺、王焱</w:t>
            </w:r>
          </w:p>
        </w:tc>
        <w:tc>
          <w:tcPr>
            <w:tcW w:w="8130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洪吕颖、谢陈润泽、卢雨薇、邱玮楠、徐超威</w:t>
            </w:r>
          </w:p>
        </w:tc>
      </w:tr>
      <w:tr w:rsidR="006A336E" w:rsidTr="005061C9">
        <w:trPr>
          <w:trHeight w:val="454"/>
        </w:trPr>
        <w:tc>
          <w:tcPr>
            <w:tcW w:w="1804" w:type="dxa"/>
            <w:vMerge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化治精英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队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时影、罗亮</w:t>
            </w:r>
          </w:p>
        </w:tc>
        <w:tc>
          <w:tcPr>
            <w:tcW w:w="8130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辛佳琪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、饶品城、夏颖、陈一炀</w:t>
            </w:r>
          </w:p>
        </w:tc>
      </w:tr>
      <w:tr w:rsidR="006A336E" w:rsidTr="005061C9">
        <w:trPr>
          <w:trHeight w:val="454"/>
        </w:trPr>
        <w:tc>
          <w:tcPr>
            <w:tcW w:w="1804" w:type="dxa"/>
            <w:vMerge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蔬</w:t>
            </w:r>
            <w:proofErr w:type="gramEnd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有棚队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罗亮、时影</w:t>
            </w:r>
          </w:p>
        </w:tc>
        <w:tc>
          <w:tcPr>
            <w:tcW w:w="8130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罗强、杨源、汪佳佳、刘巧梅、叶欣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怡</w:t>
            </w:r>
            <w:proofErr w:type="gramEnd"/>
          </w:p>
        </w:tc>
      </w:tr>
      <w:tr w:rsidR="006A336E" w:rsidTr="005061C9">
        <w:trPr>
          <w:trHeight w:val="454"/>
        </w:trPr>
        <w:tc>
          <w:tcPr>
            <w:tcW w:w="1804" w:type="dxa"/>
            <w:vMerge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点木成金队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刘建生</w:t>
            </w:r>
          </w:p>
        </w:tc>
        <w:tc>
          <w:tcPr>
            <w:tcW w:w="8130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陈兴远、郭凌蔚、吴丽娟</w:t>
            </w:r>
          </w:p>
        </w:tc>
      </w:tr>
      <w:tr w:rsidR="006A336E" w:rsidTr="005061C9">
        <w:trPr>
          <w:trHeight w:val="454"/>
        </w:trPr>
        <w:tc>
          <w:tcPr>
            <w:tcW w:w="1804" w:type="dxa"/>
            <w:vMerge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指定行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刘建生</w:t>
            </w:r>
          </w:p>
        </w:tc>
        <w:tc>
          <w:tcPr>
            <w:tcW w:w="8130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江鸣、谢津、彭昊</w:t>
            </w:r>
          </w:p>
        </w:tc>
      </w:tr>
      <w:tr w:rsidR="006A336E" w:rsidTr="005061C9">
        <w:trPr>
          <w:trHeight w:val="454"/>
        </w:trPr>
        <w:tc>
          <w:tcPr>
            <w:tcW w:w="1804" w:type="dxa"/>
            <w:vMerge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</w:p>
        </w:tc>
        <w:tc>
          <w:tcPr>
            <w:tcW w:w="2275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我们必须</w:t>
            </w:r>
            <w:proofErr w:type="gramStart"/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从容应队</w:t>
            </w:r>
            <w:proofErr w:type="gramEnd"/>
          </w:p>
        </w:tc>
        <w:tc>
          <w:tcPr>
            <w:tcW w:w="1791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sz w:val="24"/>
                <w:shd w:val="clear" w:color="auto" w:fill="FFFFFF"/>
              </w:rPr>
              <w:t>罗文剑</w:t>
            </w:r>
          </w:p>
        </w:tc>
        <w:tc>
          <w:tcPr>
            <w:tcW w:w="8130" w:type="dxa"/>
            <w:shd w:val="clear" w:color="auto" w:fill="auto"/>
            <w:vAlign w:val="center"/>
          </w:tcPr>
          <w:p w:rsidR="006A336E" w:rsidRDefault="006A336E" w:rsidP="005061C9">
            <w:pPr>
              <w:jc w:val="center"/>
              <w:rPr>
                <w:rFonts w:ascii="仿宋" w:eastAsia="仿宋" w:hAnsi="仿宋" w:cs="仿宋"/>
                <w:spacing w:val="5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spacing w:val="5"/>
                <w:kern w:val="2"/>
                <w:sz w:val="24"/>
                <w:shd w:val="clear" w:color="auto" w:fill="FFFFFF"/>
              </w:rPr>
              <w:t>杨欣雨、余字琴、黄天浩、余鑫</w:t>
            </w:r>
          </w:p>
        </w:tc>
      </w:tr>
    </w:tbl>
    <w:p w:rsidR="006A336E" w:rsidRDefault="006A336E" w:rsidP="006A336E">
      <w:pPr>
        <w:ind w:firstLineChars="200" w:firstLine="580"/>
        <w:rPr>
          <w:rFonts w:ascii="仿宋" w:eastAsia="仿宋" w:hAnsi="仿宋" w:cs="仿宋"/>
          <w:spacing w:val="5"/>
          <w:sz w:val="28"/>
          <w:szCs w:val="28"/>
          <w:shd w:val="clear" w:color="auto" w:fill="FFFFFF"/>
        </w:rPr>
      </w:pPr>
    </w:p>
    <w:p w:rsidR="006A336E" w:rsidRDefault="006A336E" w:rsidP="006A336E">
      <w:pPr>
        <w:rPr>
          <w:rFonts w:ascii="仿宋" w:eastAsia="仿宋" w:hAnsi="仿宋" w:cs="仿宋"/>
          <w:spacing w:val="5"/>
          <w:sz w:val="28"/>
          <w:szCs w:val="28"/>
          <w:shd w:val="clear" w:color="auto" w:fill="FFFFFF"/>
        </w:rPr>
      </w:pPr>
    </w:p>
    <w:p w:rsidR="006A336E" w:rsidRDefault="006A336E" w:rsidP="006A336E">
      <w:pPr>
        <w:rPr>
          <w:rFonts w:ascii="仿宋" w:eastAsia="仿宋" w:hAnsi="仿宋" w:cs="仿宋"/>
          <w:spacing w:val="5"/>
          <w:sz w:val="28"/>
          <w:szCs w:val="28"/>
          <w:shd w:val="clear" w:color="auto" w:fill="FFFFFF"/>
        </w:rPr>
      </w:pPr>
    </w:p>
    <w:p w:rsidR="00892AF9" w:rsidRPr="006A336E" w:rsidRDefault="00892AF9"/>
    <w:sectPr w:rsidR="00892AF9" w:rsidRPr="006A336E">
      <w:pgSz w:w="16838" w:h="11906" w:orient="landscape"/>
      <w:pgMar w:top="1800" w:right="1440" w:bottom="1800" w:left="12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36E"/>
    <w:rsid w:val="005061C9"/>
    <w:rsid w:val="006A336E"/>
    <w:rsid w:val="0089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A33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6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A336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239</Words>
  <Characters>1367</Characters>
  <Application>Microsoft Office Word</Application>
  <DocSecurity>0</DocSecurity>
  <Lines>11</Lines>
  <Paragraphs>3</Paragraphs>
  <ScaleCrop>false</ScaleCrop>
  <Company>微软中国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2025-04-21T11:46:00Z</dcterms:created>
  <dcterms:modified xsi:type="dcterms:W3CDTF">2025-04-21T11:48:00Z</dcterms:modified>
</cp:coreProperties>
</file>